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311785</wp:posOffset>
            </wp:positionV>
            <wp:extent cx="71323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346075</wp:posOffset>
            </wp:positionV>
            <wp:extent cx="7132320" cy="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255"/>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Short Form of Press Release</w:t>
      </w:r>
    </w:p>
    <w:p>
      <w:pPr>
        <w:spacing w:after="0" w:line="225"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62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6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54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490220</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July 28, 2021</w:t>
      </w:r>
    </w:p>
    <w:p>
      <w:pPr>
        <w:spacing w:after="0" w:line="225"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9" w:lineRule="exact"/>
        <w:rPr>
          <w:sz w:val="20"/>
          <w:szCs w:val="20"/>
          <w:color w:val="auto"/>
        </w:rPr>
      </w:pPr>
    </w:p>
    <w:p>
      <w:pPr>
        <w:ind w:left="6760"/>
        <w:spacing w:after="0"/>
        <w:tabs>
          <w:tab w:leader="none" w:pos="730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4642485</wp:posOffset>
            </wp:positionH>
            <wp:positionV relativeFrom="paragraph">
              <wp:posOffset>14605</wp:posOffset>
            </wp:positionV>
            <wp:extent cx="249428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2494280" cy="8255"/>
                    </a:xfrm>
                    <a:prstGeom prst="rect">
                      <a:avLst/>
                    </a:prstGeom>
                    <a:noFill/>
                  </pic:spPr>
                </pic:pic>
              </a:graphicData>
            </a:graphic>
          </wp:anchor>
        </w:drawing>
      </w:r>
    </w:p>
    <w:p>
      <w:pPr>
        <w:spacing w:after="0" w:line="231" w:lineRule="exact"/>
        <w:rPr>
          <w:sz w:val="20"/>
          <w:szCs w:val="20"/>
          <w:color w:val="auto"/>
        </w:rPr>
      </w:pPr>
    </w:p>
    <w:p>
      <w:pPr>
        <w:ind w:left="676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6760"/>
        <w:spacing w:after="0"/>
        <w:tabs>
          <w:tab w:leader="none" w:pos="7300" w:val="left"/>
        </w:tabs>
        <w:rPr>
          <w:sz w:val="20"/>
          <w:szCs w:val="20"/>
          <w:color w:val="auto"/>
        </w:rPr>
      </w:pPr>
      <w:r>
        <w:rPr>
          <w:rFonts w:ascii="Arial" w:cs="Arial" w:eastAsia="Arial" w:hAnsi="Arial"/>
          <w:sz w:val="18"/>
          <w:szCs w:val="18"/>
          <w:color w:val="auto"/>
        </w:rPr>
        <w:t>Title:</w:t>
      </w:r>
      <w:r>
        <w:rPr>
          <w:sz w:val="20"/>
          <w:szCs w:val="20"/>
          <w:color w:val="auto"/>
        </w:rPr>
        <w:tab/>
      </w:r>
      <w:r>
        <w:rPr>
          <w:rFonts w:ascii="Arial" w:cs="Arial" w:eastAsia="Arial" w:hAnsi="Arial"/>
          <w:sz w:val="16"/>
          <w:szCs w:val="16"/>
          <w:color w:val="auto"/>
        </w:rPr>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280035</wp:posOffset>
            </wp:positionV>
            <wp:extent cx="7132320" cy="825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904"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276860</wp:posOffset>
            </wp:positionH>
            <wp:positionV relativeFrom="page">
              <wp:posOffset>586105</wp:posOffset>
            </wp:positionV>
            <wp:extent cx="6960870" cy="13544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6960870" cy="13544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SECOND QUARTER 2021 PROFIT OF $14.1 MILLION, OR $0.36 PER SHARE,</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ON IMPROVED CORE REVENUES AND CREDIT PORTFOLIO GROWTH</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July 28, 2021</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w:t>
      </w:r>
      <w:r>
        <w:rPr>
          <w:rFonts w:ascii="Arial" w:cs="Arial" w:eastAsia="Arial" w:hAnsi="Arial"/>
          <w:sz w:val="18"/>
          <w:szCs w:val="18"/>
          <w:b w:val="1"/>
          <w:bCs w:val="1"/>
          <w:color w:val="auto"/>
        </w:rPr>
        <w:t xml:space="preserve"> </w:t>
      </w:r>
      <w:r>
        <w:rPr>
          <w:rFonts w:ascii="Arial" w:cs="Arial" w:eastAsia="Arial" w:hAnsi="Arial"/>
          <w:sz w:val="18"/>
          <w:szCs w:val="18"/>
          <w:color w:val="auto"/>
        </w:rPr>
        <w:t>by the central banks of 23 Latin-American and Caribbean countries to promote foreign trade and economic integration in the Region, today announced its results for the Second Quarter (“2Q21”) and six months (“6M21”) ended June 30, 2021.</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820" w:type="dxa"/>
            <w:vAlign w:val="bottom"/>
          </w:tcPr>
          <w:p>
            <w:pPr>
              <w:spacing w:after="0"/>
              <w:rPr>
                <w:sz w:val="20"/>
                <w:szCs w:val="20"/>
                <w:color w:val="auto"/>
              </w:rPr>
            </w:pPr>
            <w:r>
              <w:rPr>
                <w:rFonts w:ascii="Arial" w:cs="Arial" w:eastAsia="Arial" w:hAnsi="Arial"/>
                <w:sz w:val="18"/>
                <w:szCs w:val="18"/>
                <w:b w:val="1"/>
                <w:bCs w:val="1"/>
                <w:color w:val="auto"/>
              </w:rPr>
              <w:t>FINANCIAL SNAPSHOT</w:t>
            </w:r>
          </w:p>
        </w:tc>
        <w:tc>
          <w:tcPr>
            <w:tcW w:w="32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60" w:type="dxa"/>
            <w:vAlign w:val="bottom"/>
          </w:tcPr>
          <w:p>
            <w:pPr>
              <w:spacing w:after="0"/>
              <w:rPr>
                <w:sz w:val="20"/>
                <w:szCs w:val="20"/>
                <w:color w:val="auto"/>
              </w:rPr>
            </w:pPr>
          </w:p>
        </w:tc>
      </w:tr>
      <w:tr>
        <w:trPr>
          <w:trHeight w:val="445"/>
        </w:trPr>
        <w:tc>
          <w:tcPr>
            <w:tcW w:w="4820" w:type="dxa"/>
            <w:vAlign w:val="bottom"/>
          </w:tcPr>
          <w:p>
            <w:pPr>
              <w:spacing w:after="0"/>
              <w:rPr>
                <w:sz w:val="20"/>
                <w:szCs w:val="20"/>
                <w:color w:val="auto"/>
              </w:rPr>
            </w:pPr>
            <w:r>
              <w:rPr>
                <w:rFonts w:ascii="Arial" w:cs="Arial" w:eastAsia="Arial" w:hAnsi="Arial"/>
                <w:sz w:val="18"/>
                <w:szCs w:val="18"/>
                <w:color w:val="auto"/>
              </w:rPr>
              <w:t>(US$ million, except percentages and per share amounts)</w:t>
            </w:r>
          </w:p>
        </w:tc>
        <w:tc>
          <w:tcPr>
            <w:tcW w:w="320" w:type="dxa"/>
            <w:vAlign w:val="bottom"/>
          </w:tcPr>
          <w:p>
            <w:pPr>
              <w:spacing w:after="0"/>
              <w:rPr>
                <w:sz w:val="24"/>
                <w:szCs w:val="24"/>
                <w:color w:val="auto"/>
              </w:rPr>
            </w:pPr>
          </w:p>
        </w:tc>
        <w:tc>
          <w:tcPr>
            <w:tcW w:w="10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2Q21</w:t>
            </w:r>
          </w:p>
        </w:tc>
        <w:tc>
          <w:tcPr>
            <w:tcW w:w="180" w:type="dxa"/>
            <w:vAlign w:val="bottom"/>
          </w:tcPr>
          <w:p>
            <w:pPr>
              <w:spacing w:after="0"/>
              <w:rPr>
                <w:sz w:val="24"/>
                <w:szCs w:val="24"/>
                <w:color w:val="auto"/>
              </w:rPr>
            </w:pPr>
          </w:p>
        </w:tc>
        <w:tc>
          <w:tcPr>
            <w:tcW w:w="108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1Q21</w:t>
            </w:r>
          </w:p>
        </w:tc>
        <w:tc>
          <w:tcPr>
            <w:tcW w:w="160" w:type="dxa"/>
            <w:vAlign w:val="bottom"/>
          </w:tcPr>
          <w:p>
            <w:pPr>
              <w:spacing w:after="0"/>
              <w:rPr>
                <w:sz w:val="24"/>
                <w:szCs w:val="24"/>
                <w:color w:val="auto"/>
              </w:rPr>
            </w:pPr>
          </w:p>
        </w:tc>
        <w:tc>
          <w:tcPr>
            <w:tcW w:w="11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2Q20</w:t>
            </w:r>
          </w:p>
        </w:tc>
        <w:tc>
          <w:tcPr>
            <w:tcW w:w="160" w:type="dxa"/>
            <w:vAlign w:val="bottom"/>
          </w:tcPr>
          <w:p>
            <w:pPr>
              <w:spacing w:after="0"/>
              <w:rPr>
                <w:sz w:val="24"/>
                <w:szCs w:val="24"/>
                <w:color w:val="auto"/>
              </w:rPr>
            </w:pPr>
          </w:p>
        </w:tc>
        <w:tc>
          <w:tcPr>
            <w:tcW w:w="110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6M21</w:t>
            </w:r>
          </w:p>
        </w:tc>
        <w:tc>
          <w:tcPr>
            <w:tcW w:w="160" w:type="dxa"/>
            <w:vAlign w:val="bottom"/>
          </w:tcPr>
          <w:p>
            <w:pPr>
              <w:spacing w:after="0"/>
              <w:rPr>
                <w:sz w:val="24"/>
                <w:szCs w:val="24"/>
                <w:color w:val="auto"/>
              </w:rPr>
            </w:pPr>
          </w:p>
        </w:tc>
        <w:tc>
          <w:tcPr>
            <w:tcW w:w="1060" w:type="dxa"/>
            <w:vAlign w:val="bottom"/>
            <w:gridSpan w:val="2"/>
          </w:tcPr>
          <w:p>
            <w:pPr>
              <w:jc w:val="right"/>
              <w:ind w:right="380"/>
              <w:spacing w:after="0"/>
              <w:rPr>
                <w:sz w:val="20"/>
                <w:szCs w:val="20"/>
                <w:color w:val="auto"/>
              </w:rPr>
            </w:pPr>
            <w:r>
              <w:rPr>
                <w:rFonts w:ascii="Arial" w:cs="Arial" w:eastAsia="Arial" w:hAnsi="Arial"/>
                <w:sz w:val="18"/>
                <w:szCs w:val="18"/>
                <w:b w:val="1"/>
                <w:bCs w:val="1"/>
                <w:color w:val="auto"/>
              </w:rPr>
              <w:t>6M20</w:t>
            </w:r>
          </w:p>
        </w:tc>
      </w:tr>
      <w:tr>
        <w:trPr>
          <w:trHeight w:val="210"/>
        </w:trPr>
        <w:tc>
          <w:tcPr>
            <w:tcW w:w="48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Key Income Statement Highlights</w:t>
            </w:r>
          </w:p>
        </w:tc>
        <w:tc>
          <w:tcPr>
            <w:tcW w:w="32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Net Interest Income ("NII")</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21.0</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18.9</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21.7</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39.9</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47.5</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Fees and commissions, net</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3.0</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5.0</w:t>
            </w: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Gain (loss) on financial instruments, net</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0.2</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(0.1)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60"/>
              <w:spacing w:after="0"/>
              <w:rPr>
                <w:sz w:val="20"/>
                <w:szCs w:val="20"/>
                <w:color w:val="auto"/>
              </w:rPr>
            </w:pPr>
            <w:r>
              <w:rPr>
                <w:rFonts w:ascii="Arial" w:cs="Arial" w:eastAsia="Arial" w:hAnsi="Arial"/>
                <w:sz w:val="18"/>
                <w:szCs w:val="18"/>
                <w:color w:val="auto"/>
              </w:rPr>
              <w:t>(3.9)</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0.2</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(4.3)</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Total revenues</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25.6</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22.0</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19.9</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47.6</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48.7</w:t>
            </w: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(Provision) reversal for credit losses</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140"/>
              <w:spacing w:after="0"/>
              <w:rPr>
                <w:sz w:val="20"/>
                <w:szCs w:val="20"/>
                <w:color w:val="auto"/>
              </w:rPr>
            </w:pPr>
            <w:r>
              <w:rPr>
                <w:rFonts w:ascii="Arial" w:cs="Arial" w:eastAsia="Arial" w:hAnsi="Arial"/>
                <w:sz w:val="18"/>
                <w:szCs w:val="18"/>
                <w:color w:val="auto"/>
              </w:rPr>
              <w:t>(1.4)</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0.0</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2.6</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(1.4)</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2.7</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(10.1)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(9.1)</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(19.3)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(18.8)</w:t>
            </w: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Profit for the period</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14.1</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12.8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14.1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26.9</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32.4</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Profitability Ratios</w:t>
            </w:r>
          </w:p>
        </w:tc>
        <w:tc>
          <w:tcPr>
            <w:tcW w:w="3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r>
      <w:tr>
        <w:trPr>
          <w:trHeight w:val="257"/>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Earnings per Share ("EPS") </w:t>
            </w:r>
            <w:r>
              <w:rPr>
                <w:rFonts w:ascii="Arial" w:cs="Arial" w:eastAsia="Arial" w:hAnsi="Arial"/>
                <w:sz w:val="29"/>
                <w:szCs w:val="29"/>
                <w:color w:val="auto"/>
                <w:vertAlign w:val="superscript"/>
              </w:rPr>
              <w:t>(1)</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0.36</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0.32</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0.36</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0.68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0.82</w:t>
            </w:r>
          </w:p>
        </w:tc>
      </w:tr>
      <w:tr>
        <w:trPr>
          <w:trHeight w:val="256"/>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Return on Average Equity (“ROAE”) </w:t>
            </w:r>
            <w:r>
              <w:rPr>
                <w:rFonts w:ascii="Arial" w:cs="Arial" w:eastAsia="Arial" w:hAnsi="Arial"/>
                <w:sz w:val="29"/>
                <w:szCs w:val="29"/>
                <w:color w:val="auto"/>
                <w:vertAlign w:val="superscript"/>
              </w:rPr>
              <w:t>(2)</w:t>
            </w:r>
          </w:p>
        </w:tc>
        <w:tc>
          <w:tcPr>
            <w:tcW w:w="3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5.4%</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5.0%</w:t>
            </w:r>
          </w:p>
        </w:tc>
        <w:tc>
          <w:tcPr>
            <w:tcW w:w="1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5.5%</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5.2%</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w:t>
            </w: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Return on Average Assets (“ROAA”)</w:t>
            </w:r>
          </w:p>
        </w:tc>
        <w:tc>
          <w:tcPr>
            <w:tcW w:w="32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0.8%</w:t>
            </w:r>
          </w:p>
        </w:tc>
        <w:tc>
          <w:tcPr>
            <w:tcW w:w="180" w:type="dxa"/>
            <w:vAlign w:val="bottom"/>
          </w:tcPr>
          <w:p>
            <w:pPr>
              <w:spacing w:after="0"/>
              <w:rPr>
                <w:sz w:val="18"/>
                <w:szCs w:val="18"/>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0.8%</w:t>
            </w:r>
          </w:p>
        </w:tc>
        <w:tc>
          <w:tcPr>
            <w:tcW w:w="16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0.8%</w:t>
            </w:r>
          </w:p>
        </w:tc>
        <w:tc>
          <w:tcPr>
            <w:tcW w:w="160" w:type="dxa"/>
            <w:vAlign w:val="bottom"/>
          </w:tcPr>
          <w:p>
            <w:pPr>
              <w:spacing w:after="0"/>
              <w:rPr>
                <w:sz w:val="18"/>
                <w:szCs w:val="18"/>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0.8%</w:t>
            </w:r>
          </w:p>
        </w:tc>
        <w:tc>
          <w:tcPr>
            <w:tcW w:w="160" w:type="dxa"/>
            <w:vAlign w:val="bottom"/>
          </w:tcPr>
          <w:p>
            <w:pPr>
              <w:spacing w:after="0"/>
              <w:rPr>
                <w:sz w:val="18"/>
                <w:szCs w:val="18"/>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1.0%</w:t>
            </w:r>
          </w:p>
        </w:tc>
      </w:tr>
      <w:tr>
        <w:trPr>
          <w:trHeight w:val="256"/>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Net Interest Margin ("NIM") </w:t>
            </w:r>
            <w:r>
              <w:rPr>
                <w:rFonts w:ascii="Arial" w:cs="Arial" w:eastAsia="Arial" w:hAnsi="Arial"/>
                <w:sz w:val="29"/>
                <w:szCs w:val="29"/>
                <w:color w:val="auto"/>
                <w:vertAlign w:val="superscript"/>
              </w:rPr>
              <w:t>(3)</w:t>
            </w:r>
          </w:p>
        </w:tc>
        <w:tc>
          <w:tcPr>
            <w:tcW w:w="3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1.27%</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1.24%</w:t>
            </w:r>
          </w:p>
        </w:tc>
        <w:tc>
          <w:tcPr>
            <w:tcW w:w="1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1.28%</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1.26%</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1.43%</w:t>
            </w:r>
          </w:p>
        </w:tc>
      </w:tr>
      <w:tr>
        <w:trPr>
          <w:trHeight w:val="257"/>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Net Interest Spread ("NIS") </w:t>
            </w:r>
            <w:r>
              <w:rPr>
                <w:rFonts w:ascii="Arial" w:cs="Arial" w:eastAsia="Arial" w:hAnsi="Arial"/>
                <w:sz w:val="29"/>
                <w:szCs w:val="29"/>
                <w:color w:val="auto"/>
                <w:vertAlign w:val="superscript"/>
              </w:rPr>
              <w:t>(4)</w:t>
            </w:r>
          </w:p>
        </w:tc>
        <w:tc>
          <w:tcPr>
            <w:tcW w:w="32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1.11%</w:t>
            </w:r>
          </w:p>
        </w:tc>
        <w:tc>
          <w:tcPr>
            <w:tcW w:w="18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1.04%</w:t>
            </w:r>
          </w:p>
        </w:tc>
        <w:tc>
          <w:tcPr>
            <w:tcW w:w="160" w:type="dxa"/>
            <w:vAlign w:val="bottom"/>
          </w:tcPr>
          <w:p>
            <w:pPr>
              <w:spacing w:after="0"/>
              <w:rPr>
                <w:sz w:val="22"/>
                <w:szCs w:val="22"/>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1.01%</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1.08%</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1.09%</w:t>
            </w:r>
          </w:p>
        </w:tc>
      </w:tr>
      <w:tr>
        <w:trPr>
          <w:trHeight w:val="256"/>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Efficiency Ratio </w:t>
            </w:r>
            <w:r>
              <w:rPr>
                <w:rFonts w:ascii="Arial" w:cs="Arial" w:eastAsia="Arial" w:hAnsi="Arial"/>
                <w:sz w:val="29"/>
                <w:szCs w:val="29"/>
                <w:color w:val="auto"/>
                <w:vertAlign w:val="superscript"/>
              </w:rPr>
              <w:t>(5)</w:t>
            </w:r>
          </w:p>
        </w:tc>
        <w:tc>
          <w:tcPr>
            <w:tcW w:w="3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39.6%</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41.6%</w:t>
            </w:r>
          </w:p>
        </w:tc>
        <w:tc>
          <w:tcPr>
            <w:tcW w:w="1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41.5%</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40.5%</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38.7%</w:t>
            </w:r>
          </w:p>
        </w:tc>
      </w:tr>
      <w:tr>
        <w:trPr>
          <w:trHeight w:val="216"/>
        </w:trPr>
        <w:tc>
          <w:tcPr>
            <w:tcW w:w="4820" w:type="dxa"/>
            <w:vAlign w:val="bottom"/>
          </w:tcPr>
          <w:p>
            <w:pPr>
              <w:spacing w:after="0"/>
              <w:rPr>
                <w:sz w:val="20"/>
                <w:szCs w:val="20"/>
                <w:color w:val="auto"/>
              </w:rPr>
            </w:pPr>
            <w:r>
              <w:rPr>
                <w:rFonts w:ascii="Arial" w:cs="Arial" w:eastAsia="Arial" w:hAnsi="Arial"/>
                <w:sz w:val="18"/>
                <w:szCs w:val="18"/>
                <w:b w:val="1"/>
                <w:bCs w:val="1"/>
                <w:color w:val="auto"/>
              </w:rPr>
              <w:t>Assets, Capital, Liquidity &amp; Credit Quality</w:t>
            </w:r>
          </w:p>
        </w:tc>
        <w:tc>
          <w:tcPr>
            <w:tcW w:w="32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900" w:type="dxa"/>
            <w:vAlign w:val="bottom"/>
          </w:tcPr>
          <w:p>
            <w:pPr>
              <w:spacing w:after="0"/>
              <w:rPr>
                <w:sz w:val="18"/>
                <w:szCs w:val="18"/>
                <w:color w:val="auto"/>
              </w:rPr>
            </w:pPr>
          </w:p>
        </w:tc>
        <w:tc>
          <w:tcPr>
            <w:tcW w:w="160" w:type="dxa"/>
            <w:vAlign w:val="bottom"/>
          </w:tcPr>
          <w:p>
            <w:pPr>
              <w:spacing w:after="0"/>
              <w:rPr>
                <w:sz w:val="18"/>
                <w:szCs w:val="18"/>
                <w:color w:val="auto"/>
              </w:rPr>
            </w:pPr>
          </w:p>
        </w:tc>
      </w:tr>
      <w:tr>
        <w:trPr>
          <w:trHeight w:val="256"/>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 Portfolio </w:t>
            </w:r>
            <w:r>
              <w:rPr>
                <w:rFonts w:ascii="Arial" w:cs="Arial" w:eastAsia="Arial" w:hAnsi="Arial"/>
                <w:sz w:val="29"/>
                <w:szCs w:val="29"/>
                <w:color w:val="auto"/>
                <w:vertAlign w:val="superscript"/>
              </w:rPr>
              <w:t>(6)</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6,531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6,097</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5,011</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6,531</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5,011</w:t>
            </w:r>
          </w:p>
        </w:tc>
      </w:tr>
      <w:tr>
        <w:trPr>
          <w:trHeight w:val="257"/>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Commercial Portfolio </w:t>
            </w:r>
            <w:r>
              <w:rPr>
                <w:rFonts w:ascii="Arial" w:cs="Arial" w:eastAsia="Arial" w:hAnsi="Arial"/>
                <w:sz w:val="29"/>
                <w:szCs w:val="29"/>
                <w:color w:val="auto"/>
                <w:vertAlign w:val="superscript"/>
              </w:rPr>
              <w:t>(7)</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6,008</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5,708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4,915</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6,008</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4,915</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Investment Portfolio</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523</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389</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96</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523</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96</w:t>
            </w:r>
          </w:p>
        </w:tc>
      </w:tr>
      <w:tr>
        <w:trPr>
          <w:trHeight w:val="216"/>
        </w:trPr>
        <w:tc>
          <w:tcPr>
            <w:tcW w:w="4820" w:type="dxa"/>
            <w:vAlign w:val="bottom"/>
          </w:tcPr>
          <w:p>
            <w:pPr>
              <w:spacing w:after="0"/>
              <w:rPr>
                <w:sz w:val="20"/>
                <w:szCs w:val="20"/>
                <w:color w:val="auto"/>
              </w:rPr>
            </w:pPr>
            <w:r>
              <w:rPr>
                <w:rFonts w:ascii="Arial" w:cs="Arial" w:eastAsia="Arial" w:hAnsi="Arial"/>
                <w:sz w:val="18"/>
                <w:szCs w:val="18"/>
                <w:color w:val="auto"/>
              </w:rPr>
              <w:t>Total assets</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6,723</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6,375</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6,627</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6,723</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6,627</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Total equity</w:t>
            </w:r>
          </w:p>
        </w:tc>
        <w:tc>
          <w:tcPr>
            <w:tcW w:w="3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1,031</w:t>
            </w:r>
          </w:p>
        </w:tc>
        <w:tc>
          <w:tcPr>
            <w:tcW w:w="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1,037</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1,022</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1,031</w:t>
            </w:r>
          </w:p>
        </w:tc>
        <w:tc>
          <w:tcPr>
            <w:tcW w:w="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1,022</w:t>
            </w:r>
          </w:p>
        </w:tc>
      </w:tr>
      <w:tr>
        <w:trPr>
          <w:trHeight w:val="256"/>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Market capitalization </w:t>
            </w:r>
            <w:r>
              <w:rPr>
                <w:rFonts w:ascii="Arial" w:cs="Arial" w:eastAsia="Arial" w:hAnsi="Arial"/>
                <w:sz w:val="29"/>
                <w:szCs w:val="29"/>
                <w:color w:val="auto"/>
                <w:vertAlign w:val="superscript"/>
              </w:rPr>
              <w:t>(8)</w:t>
            </w:r>
          </w:p>
        </w:tc>
        <w:tc>
          <w:tcPr>
            <w:tcW w:w="32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605</w:t>
            </w: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080" w:type="dxa"/>
            <w:vAlign w:val="bottom"/>
            <w:gridSpan w:val="2"/>
          </w:tcPr>
          <w:p>
            <w:pPr>
              <w:jc w:val="right"/>
              <w:ind w:right="200"/>
              <w:spacing w:after="0"/>
              <w:rPr>
                <w:sz w:val="20"/>
                <w:szCs w:val="20"/>
                <w:color w:val="auto"/>
              </w:rPr>
            </w:pPr>
            <w:r>
              <w:rPr>
                <w:rFonts w:ascii="Arial" w:cs="Arial" w:eastAsia="Arial" w:hAnsi="Arial"/>
                <w:sz w:val="18"/>
                <w:szCs w:val="18"/>
                <w:color w:val="auto"/>
              </w:rPr>
              <w:t>601</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8"/>
                <w:szCs w:val="18"/>
                <w:color w:val="auto"/>
              </w:rPr>
              <w:t>456</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8"/>
                <w:szCs w:val="18"/>
                <w:color w:val="auto"/>
              </w:rPr>
              <w:t>605</w:t>
            </w:r>
          </w:p>
        </w:tc>
        <w:tc>
          <w:tcPr>
            <w:tcW w:w="160" w:type="dxa"/>
            <w:vAlign w:val="bottom"/>
          </w:tcPr>
          <w:p>
            <w:pPr>
              <w:jc w:val="right"/>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160"/>
              <w:spacing w:after="0"/>
              <w:rPr>
                <w:sz w:val="20"/>
                <w:szCs w:val="20"/>
                <w:color w:val="auto"/>
              </w:rPr>
            </w:pPr>
            <w:r>
              <w:rPr>
                <w:rFonts w:ascii="Arial" w:cs="Arial" w:eastAsia="Arial" w:hAnsi="Arial"/>
                <w:sz w:val="18"/>
                <w:szCs w:val="18"/>
                <w:color w:val="auto"/>
              </w:rPr>
              <w:t>456</w:t>
            </w:r>
          </w:p>
        </w:tc>
      </w:tr>
      <w:tr>
        <w:trPr>
          <w:trHeight w:val="257"/>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Tier 1 Capital to risk-weighted assets (Basel III – IRB) </w:t>
            </w:r>
            <w:r>
              <w:rPr>
                <w:rFonts w:ascii="Arial" w:cs="Arial" w:eastAsia="Arial" w:hAnsi="Arial"/>
                <w:sz w:val="29"/>
                <w:szCs w:val="29"/>
                <w:color w:val="auto"/>
                <w:vertAlign w:val="superscript"/>
              </w:rPr>
              <w:t>(9)</w:t>
            </w:r>
          </w:p>
        </w:tc>
        <w:tc>
          <w:tcPr>
            <w:tcW w:w="3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23.6%</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26.3%</w:t>
            </w:r>
          </w:p>
        </w:tc>
        <w:tc>
          <w:tcPr>
            <w:tcW w:w="1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24.8%</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23.6%</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24.8%</w:t>
            </w:r>
          </w:p>
        </w:tc>
      </w:tr>
      <w:tr>
        <w:trPr>
          <w:trHeight w:val="256"/>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Capital Adequacy Ratio (Regulatory) </w:t>
            </w:r>
            <w:r>
              <w:rPr>
                <w:rFonts w:ascii="Arial" w:cs="Arial" w:eastAsia="Arial" w:hAnsi="Arial"/>
                <w:sz w:val="29"/>
                <w:szCs w:val="29"/>
                <w:color w:val="auto"/>
                <w:vertAlign w:val="superscript"/>
              </w:rPr>
              <w:t>(10)</w:t>
            </w:r>
          </w:p>
        </w:tc>
        <w:tc>
          <w:tcPr>
            <w:tcW w:w="32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18.2%</w:t>
            </w:r>
          </w:p>
        </w:tc>
        <w:tc>
          <w:tcPr>
            <w:tcW w:w="18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19.4%</w:t>
            </w:r>
          </w:p>
        </w:tc>
        <w:tc>
          <w:tcPr>
            <w:tcW w:w="160" w:type="dxa"/>
            <w:vAlign w:val="bottom"/>
          </w:tcPr>
          <w:p>
            <w:pPr>
              <w:spacing w:after="0"/>
              <w:rPr>
                <w:sz w:val="22"/>
                <w:szCs w:val="22"/>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22.1%</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18.2%</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22.1%</w:t>
            </w:r>
          </w:p>
        </w:tc>
      </w:tr>
      <w:tr>
        <w:trPr>
          <w:trHeight w:val="216"/>
        </w:trPr>
        <w:tc>
          <w:tcPr>
            <w:tcW w:w="4820" w:type="dxa"/>
            <w:vAlign w:val="bottom"/>
            <w:shd w:val="clear" w:color="auto" w:fill="CCEEFF"/>
          </w:tcPr>
          <w:p>
            <w:pPr>
              <w:spacing w:after="0"/>
              <w:rPr>
                <w:sz w:val="20"/>
                <w:szCs w:val="20"/>
                <w:color w:val="auto"/>
              </w:rPr>
            </w:pPr>
            <w:r>
              <w:rPr>
                <w:rFonts w:ascii="Arial" w:cs="Arial" w:eastAsia="Arial" w:hAnsi="Arial"/>
                <w:sz w:val="18"/>
                <w:szCs w:val="18"/>
                <w:color w:val="auto"/>
              </w:rPr>
              <w:t>Total assets / Total equity (times)</w:t>
            </w:r>
          </w:p>
        </w:tc>
        <w:tc>
          <w:tcPr>
            <w:tcW w:w="32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w:t>
            </w:r>
          </w:p>
        </w:tc>
        <w:tc>
          <w:tcPr>
            <w:tcW w:w="180" w:type="dxa"/>
            <w:vAlign w:val="bottom"/>
            <w:shd w:val="clear" w:color="auto" w:fill="CCEEFF"/>
          </w:tcPr>
          <w:p>
            <w:pPr>
              <w:spacing w:after="0"/>
              <w:rPr>
                <w:sz w:val="18"/>
                <w:szCs w:val="18"/>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6.1</w:t>
            </w:r>
          </w:p>
        </w:tc>
        <w:tc>
          <w:tcPr>
            <w:tcW w:w="16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w:t>
            </w:r>
          </w:p>
        </w:tc>
        <w:tc>
          <w:tcPr>
            <w:tcW w:w="16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6.5</w:t>
            </w:r>
          </w:p>
        </w:tc>
        <w:tc>
          <w:tcPr>
            <w:tcW w:w="16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6.5</w:t>
            </w:r>
          </w:p>
        </w:tc>
      </w:tr>
      <w:tr>
        <w:trPr>
          <w:trHeight w:val="256"/>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Liquid Assets / Total Assets </w:t>
            </w:r>
            <w:r>
              <w:rPr>
                <w:rFonts w:ascii="Arial" w:cs="Arial" w:eastAsia="Arial" w:hAnsi="Arial"/>
                <w:sz w:val="29"/>
                <w:szCs w:val="29"/>
                <w:color w:val="auto"/>
                <w:vertAlign w:val="superscript"/>
              </w:rPr>
              <w:t>(11)</w:t>
            </w:r>
          </w:p>
        </w:tc>
        <w:tc>
          <w:tcPr>
            <w:tcW w:w="32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14.9%</w:t>
            </w:r>
          </w:p>
        </w:tc>
        <w:tc>
          <w:tcPr>
            <w:tcW w:w="18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15.6%</w:t>
            </w:r>
          </w:p>
        </w:tc>
        <w:tc>
          <w:tcPr>
            <w:tcW w:w="160" w:type="dxa"/>
            <w:vAlign w:val="bottom"/>
          </w:tcPr>
          <w:p>
            <w:pPr>
              <w:spacing w:after="0"/>
              <w:rPr>
                <w:sz w:val="22"/>
                <w:szCs w:val="22"/>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29.6%</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14.9%</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29.6%</w:t>
            </w:r>
          </w:p>
        </w:tc>
      </w:tr>
      <w:tr>
        <w:trPr>
          <w:trHeight w:val="256"/>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rPr>
              <w:t xml:space="preserve">Credit-impaired loans to Loan Portfolio </w:t>
            </w:r>
            <w:r>
              <w:rPr>
                <w:rFonts w:ascii="Arial" w:cs="Arial" w:eastAsia="Arial" w:hAnsi="Arial"/>
                <w:sz w:val="29"/>
                <w:szCs w:val="29"/>
                <w:color w:val="auto"/>
                <w:vertAlign w:val="superscript"/>
              </w:rPr>
              <w:t>(12)</w:t>
            </w:r>
          </w:p>
        </w:tc>
        <w:tc>
          <w:tcPr>
            <w:tcW w:w="3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0.20%</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0.21%</w:t>
            </w:r>
          </w:p>
        </w:tc>
        <w:tc>
          <w:tcPr>
            <w:tcW w:w="1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0.00%</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0.20%</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0.00%</w:t>
            </w:r>
          </w:p>
        </w:tc>
      </w:tr>
      <w:tr>
        <w:trPr>
          <w:trHeight w:val="256"/>
        </w:trPr>
        <w:tc>
          <w:tcPr>
            <w:tcW w:w="4820" w:type="dxa"/>
            <w:vAlign w:val="bottom"/>
          </w:tcPr>
          <w:p>
            <w:pPr>
              <w:spacing w:after="0" w:line="256" w:lineRule="exact"/>
              <w:rPr>
                <w:sz w:val="20"/>
                <w:szCs w:val="20"/>
                <w:color w:val="auto"/>
              </w:rPr>
            </w:pPr>
            <w:r>
              <w:rPr>
                <w:rFonts w:ascii="Arial" w:cs="Arial" w:eastAsia="Arial" w:hAnsi="Arial"/>
                <w:sz w:val="18"/>
                <w:szCs w:val="18"/>
                <w:color w:val="auto"/>
              </w:rPr>
              <w:t xml:space="preserve">Total allowance for losses to Credit Portfolio </w:t>
            </w:r>
            <w:r>
              <w:rPr>
                <w:rFonts w:ascii="Arial" w:cs="Arial" w:eastAsia="Arial" w:hAnsi="Arial"/>
                <w:sz w:val="29"/>
                <w:szCs w:val="29"/>
                <w:color w:val="auto"/>
                <w:vertAlign w:val="superscript"/>
              </w:rPr>
              <w:t>(13)</w:t>
            </w:r>
          </w:p>
        </w:tc>
        <w:tc>
          <w:tcPr>
            <w:tcW w:w="32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0.71%</w:t>
            </w:r>
          </w:p>
        </w:tc>
        <w:tc>
          <w:tcPr>
            <w:tcW w:w="180" w:type="dxa"/>
            <w:vAlign w:val="bottom"/>
          </w:tcPr>
          <w:p>
            <w:pPr>
              <w:spacing w:after="0"/>
              <w:rPr>
                <w:sz w:val="22"/>
                <w:szCs w:val="22"/>
                <w:color w:val="auto"/>
              </w:rPr>
            </w:pPr>
          </w:p>
        </w:tc>
        <w:tc>
          <w:tcPr>
            <w:tcW w:w="1080" w:type="dxa"/>
            <w:vAlign w:val="bottom"/>
            <w:gridSpan w:val="2"/>
          </w:tcPr>
          <w:p>
            <w:pPr>
              <w:jc w:val="right"/>
              <w:ind w:right="60"/>
              <w:spacing w:after="0"/>
              <w:rPr>
                <w:sz w:val="20"/>
                <w:szCs w:val="20"/>
                <w:color w:val="auto"/>
              </w:rPr>
            </w:pPr>
            <w:r>
              <w:rPr>
                <w:rFonts w:ascii="Arial" w:cs="Arial" w:eastAsia="Arial" w:hAnsi="Arial"/>
                <w:sz w:val="18"/>
                <w:szCs w:val="18"/>
                <w:color w:val="auto"/>
              </w:rPr>
              <w:t>0.73%</w:t>
            </w:r>
          </w:p>
        </w:tc>
        <w:tc>
          <w:tcPr>
            <w:tcW w:w="160" w:type="dxa"/>
            <w:vAlign w:val="bottom"/>
          </w:tcPr>
          <w:p>
            <w:pPr>
              <w:spacing w:after="0"/>
              <w:rPr>
                <w:sz w:val="22"/>
                <w:szCs w:val="22"/>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0.95%</w:t>
            </w:r>
          </w:p>
        </w:tc>
        <w:tc>
          <w:tcPr>
            <w:tcW w:w="160" w:type="dxa"/>
            <w:vAlign w:val="bottom"/>
          </w:tcPr>
          <w:p>
            <w:pPr>
              <w:spacing w:after="0"/>
              <w:rPr>
                <w:sz w:val="22"/>
                <w:szCs w:val="22"/>
                <w:color w:val="auto"/>
              </w:rPr>
            </w:pPr>
          </w:p>
        </w:tc>
        <w:tc>
          <w:tcPr>
            <w:tcW w:w="1100" w:type="dxa"/>
            <w:vAlign w:val="bottom"/>
            <w:gridSpan w:val="2"/>
          </w:tcPr>
          <w:p>
            <w:pPr>
              <w:jc w:val="right"/>
              <w:ind w:right="60"/>
              <w:spacing w:after="0"/>
              <w:rPr>
                <w:sz w:val="20"/>
                <w:szCs w:val="20"/>
                <w:color w:val="auto"/>
              </w:rPr>
            </w:pPr>
            <w:r>
              <w:rPr>
                <w:rFonts w:ascii="Arial" w:cs="Arial" w:eastAsia="Arial" w:hAnsi="Arial"/>
                <w:sz w:val="18"/>
                <w:szCs w:val="18"/>
                <w:color w:val="auto"/>
              </w:rPr>
              <w:t>0.71%</w:t>
            </w:r>
          </w:p>
        </w:tc>
        <w:tc>
          <w:tcPr>
            <w:tcW w:w="160" w:type="dxa"/>
            <w:vAlign w:val="bottom"/>
          </w:tcPr>
          <w:p>
            <w:pPr>
              <w:spacing w:after="0"/>
              <w:rPr>
                <w:sz w:val="22"/>
                <w:szCs w:val="22"/>
                <w:color w:val="auto"/>
              </w:rPr>
            </w:pP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0.95%</w:t>
            </w:r>
          </w:p>
        </w:tc>
      </w:tr>
      <w:tr>
        <w:trPr>
          <w:trHeight w:val="256"/>
        </w:trPr>
        <w:tc>
          <w:tcPr>
            <w:tcW w:w="4820" w:type="dxa"/>
            <w:vAlign w:val="bottom"/>
            <w:shd w:val="clear" w:color="auto" w:fill="CCEEFF"/>
          </w:tcPr>
          <w:p>
            <w:pPr>
              <w:spacing w:after="0" w:line="256" w:lineRule="exact"/>
              <w:rPr>
                <w:sz w:val="20"/>
                <w:szCs w:val="20"/>
                <w:color w:val="auto"/>
              </w:rPr>
            </w:pPr>
            <w:r>
              <w:rPr>
                <w:rFonts w:ascii="Arial" w:cs="Arial" w:eastAsia="Arial" w:hAnsi="Arial"/>
                <w:sz w:val="18"/>
                <w:szCs w:val="18"/>
                <w:color w:val="auto"/>
                <w:w w:val="96"/>
              </w:rPr>
              <w:t xml:space="preserve">Total allowance for losses to credit-impaired loans (times) </w:t>
            </w:r>
            <w:r>
              <w:rPr>
                <w:rFonts w:ascii="Arial" w:cs="Arial" w:eastAsia="Arial" w:hAnsi="Arial"/>
                <w:sz w:val="29"/>
                <w:szCs w:val="29"/>
                <w:color w:val="auto"/>
                <w:w w:val="96"/>
                <w:vertAlign w:val="superscript"/>
              </w:rPr>
              <w:t>(13)</w:t>
            </w:r>
          </w:p>
        </w:tc>
        <w:tc>
          <w:tcPr>
            <w:tcW w:w="32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w:t>
            </w:r>
          </w:p>
        </w:tc>
        <w:tc>
          <w:tcPr>
            <w:tcW w:w="180" w:type="dxa"/>
            <w:vAlign w:val="bottom"/>
            <w:shd w:val="clear" w:color="auto" w:fill="CCEEFF"/>
          </w:tcPr>
          <w:p>
            <w:pPr>
              <w:spacing w:after="0"/>
              <w:rPr>
                <w:sz w:val="22"/>
                <w:szCs w:val="22"/>
                <w:color w:val="auto"/>
              </w:rPr>
            </w:pPr>
          </w:p>
        </w:tc>
        <w:tc>
          <w:tcPr>
            <w:tcW w:w="108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4.2</w:t>
            </w:r>
          </w:p>
        </w:tc>
        <w:tc>
          <w:tcPr>
            <w:tcW w:w="160" w:type="dxa"/>
            <w:vAlign w:val="bottom"/>
            <w:shd w:val="clear" w:color="auto" w:fill="CCEEFF"/>
          </w:tcPr>
          <w:p>
            <w:pPr>
              <w:spacing w:after="0"/>
              <w:rPr>
                <w:sz w:val="22"/>
                <w:szCs w:val="22"/>
                <w:color w:val="auto"/>
              </w:rPr>
            </w:pP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n.m.</w:t>
            </w:r>
          </w:p>
        </w:tc>
        <w:tc>
          <w:tcPr>
            <w:tcW w:w="160" w:type="dxa"/>
            <w:vAlign w:val="bottom"/>
            <w:shd w:val="clear" w:color="auto" w:fill="CCEEFF"/>
          </w:tcPr>
          <w:p>
            <w:pPr>
              <w:spacing w:after="0"/>
              <w:rPr>
                <w:sz w:val="22"/>
                <w:szCs w:val="22"/>
                <w:color w:val="auto"/>
              </w:rPr>
            </w:pP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4.4</w:t>
            </w:r>
          </w:p>
        </w:tc>
        <w:tc>
          <w:tcPr>
            <w:tcW w:w="160" w:type="dxa"/>
            <w:vAlign w:val="bottom"/>
            <w:shd w:val="clear" w:color="auto" w:fill="CCEEFF"/>
          </w:tcPr>
          <w:p>
            <w:pPr>
              <w:spacing w:after="0"/>
              <w:rPr>
                <w:sz w:val="22"/>
                <w:szCs w:val="22"/>
                <w:color w:val="auto"/>
              </w:rPr>
            </w:pPr>
          </w:p>
        </w:tc>
        <w:tc>
          <w:tcPr>
            <w:tcW w:w="10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n.m.</w:t>
            </w:r>
          </w:p>
        </w:tc>
      </w:tr>
    </w:tbl>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"n.m." means not meaningful.</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BUSINESS HIGHLIGHTS</w:t>
      </w:r>
    </w:p>
    <w:p>
      <w:pPr>
        <w:spacing w:after="0" w:line="229" w:lineRule="exact"/>
        <w:rPr>
          <w:sz w:val="20"/>
          <w:szCs w:val="20"/>
          <w:color w:val="auto"/>
        </w:rPr>
      </w:pPr>
    </w:p>
    <w:p>
      <w:pPr>
        <w:ind w:left="340" w:right="60" w:hanging="319"/>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Profit increased 10% QoQ (Stable YoY) to $14.1 million for the 2Q21, driven by solid quarterly revenue growth (+17% QoQ) from increased Net Interest Income (“NII”) on higher average credits, and from an uplift in Fees.</w:t>
      </w:r>
    </w:p>
    <w:p>
      <w:pPr>
        <w:spacing w:after="0" w:line="197" w:lineRule="exact"/>
        <w:rPr>
          <w:rFonts w:ascii="Arial" w:cs="Arial" w:eastAsia="Arial" w:hAnsi="Arial"/>
          <w:sz w:val="18"/>
          <w:szCs w:val="18"/>
          <w:color w:val="auto"/>
        </w:rPr>
      </w:pPr>
    </w:p>
    <w:p>
      <w:pPr>
        <w:ind w:left="340" w:right="60" w:hanging="319"/>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The Bank’s Profit for 6M21 totaled $26.9 million, down 17% YoY, mostly impacted by the net effect of lower Libor-based market rates on the Bank’s assets and liabilities, reducing NII by 16% YoY.</w:t>
      </w:r>
    </w:p>
    <w:p>
      <w:pPr>
        <w:spacing w:after="0" w:line="197" w:lineRule="exact"/>
        <w:rPr>
          <w:rFonts w:ascii="Arial" w:cs="Arial" w:eastAsia="Arial" w:hAnsi="Arial"/>
          <w:sz w:val="18"/>
          <w:szCs w:val="18"/>
          <w:color w:val="auto"/>
        </w:rPr>
      </w:pPr>
    </w:p>
    <w:p>
      <w:pPr>
        <w:ind w:left="340" w:right="60" w:hanging="319"/>
        <w:spacing w:after="0" w:line="277" w:lineRule="auto"/>
        <w:tabs>
          <w:tab w:leader="none" w:pos="340" w:val="left"/>
        </w:tabs>
        <w:numPr>
          <w:ilvl w:val="0"/>
          <w:numId w:val="1"/>
        </w:numPr>
        <w:rPr>
          <w:rFonts w:ascii="Arial" w:cs="Arial" w:eastAsia="Arial" w:hAnsi="Arial"/>
          <w:sz w:val="18"/>
          <w:szCs w:val="18"/>
          <w:color w:val="auto"/>
        </w:rPr>
      </w:pPr>
      <w:r>
        <w:rPr>
          <w:rFonts w:ascii="Arial" w:cs="Arial" w:eastAsia="Arial" w:hAnsi="Arial"/>
          <w:sz w:val="18"/>
          <w:szCs w:val="18"/>
          <w:color w:val="auto"/>
        </w:rPr>
        <w:t>Commercial Portfolio reached $6 billion at quarter-end, up 5% QoQ and 22% YoY, on a continued quarterly growth trend since a year ago, having increased lending origination by 11% QoQ and by 205% YoY.</w:t>
      </w:r>
    </w:p>
    <w:p>
      <w:pPr>
        <w:sectPr>
          <w:pgSz w:w="11900" w:h="16838" w:orient="portrait"/>
          <w:cols w:equalWidth="0" w:num="1">
            <w:col w:w="11240"/>
          </w:cols>
          <w:pgMar w:left="320" w:top="1440" w:right="339" w:bottom="0" w:gutter="0" w:footer="0" w:header="0"/>
        </w:sectPr>
      </w:pPr>
    </w:p>
    <w:bookmarkStart w:id="3" w:name="page4"/>
    <w:bookmarkEnd w:id="3"/>
    <w:p>
      <w:pPr>
        <w:spacing w:after="0" w:line="277" w:lineRule="auto"/>
        <w:tabs>
          <w:tab w:leader="none" w:pos="340" w:val="left"/>
        </w:tabs>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88900</wp:posOffset>
            </wp:positionV>
            <wp:extent cx="71323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1" w:num="1" w:space="0"/>
          <w:pgMar w:left="1440" w:top="1440" w:right="1440" w:bottom="875"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276860</wp:posOffset>
            </wp:positionH>
            <wp:positionV relativeFrom="page">
              <wp:posOffset>603250</wp:posOffset>
            </wp:positionV>
            <wp:extent cx="6960870" cy="13544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6960870" cy="13544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319" w:hanging="319"/>
        <w:spacing w:after="0" w:line="342" w:lineRule="auto"/>
        <w:tabs>
          <w:tab w:leader="none" w:pos="319" w:val="left"/>
        </w:tabs>
        <w:numPr>
          <w:ilvl w:val="0"/>
          <w:numId w:val="2"/>
        </w:numPr>
        <w:rPr>
          <w:rFonts w:ascii="Arial" w:cs="Arial" w:eastAsia="Arial" w:hAnsi="Arial"/>
          <w:sz w:val="16"/>
          <w:szCs w:val="16"/>
          <w:color w:val="auto"/>
        </w:rPr>
      </w:pPr>
      <w:r>
        <w:rPr>
          <w:rFonts w:ascii="Arial" w:cs="Arial" w:eastAsia="Arial" w:hAnsi="Arial"/>
          <w:sz w:val="16"/>
          <w:szCs w:val="16"/>
          <w:color w:val="auto"/>
        </w:rPr>
        <w:t>The Bank maintains its collection rate of close to 100% on loan maturities, evidencing the high quality of its borrower base of financial institutions (49%) and sovereign and state-owned corporations (18%), as well as the short-term nature of its business (78% maturing in less than a year).</w:t>
      </w:r>
    </w:p>
    <w:p>
      <w:pPr>
        <w:spacing w:after="0" w:line="150" w:lineRule="exact"/>
        <w:rPr>
          <w:rFonts w:ascii="Arial" w:cs="Arial" w:eastAsia="Arial" w:hAnsi="Arial"/>
          <w:sz w:val="16"/>
          <w:szCs w:val="16"/>
          <w:color w:val="auto"/>
        </w:rPr>
      </w:pPr>
    </w:p>
    <w:p>
      <w:pPr>
        <w:jc w:val="both"/>
        <w:ind w:left="319" w:hanging="319"/>
        <w:spacing w:after="0" w:line="263" w:lineRule="auto"/>
        <w:tabs>
          <w:tab w:leader="none" w:pos="319" w:val="left"/>
        </w:tabs>
        <w:numPr>
          <w:ilvl w:val="0"/>
          <w:numId w:val="2"/>
        </w:numPr>
        <w:rPr>
          <w:rFonts w:ascii="Arial" w:cs="Arial" w:eastAsia="Arial" w:hAnsi="Arial"/>
          <w:sz w:val="18"/>
          <w:szCs w:val="18"/>
          <w:color w:val="auto"/>
        </w:rPr>
      </w:pPr>
      <w:r>
        <w:rPr>
          <w:rFonts w:ascii="Arial" w:cs="Arial" w:eastAsia="Arial" w:hAnsi="Arial"/>
          <w:sz w:val="18"/>
          <w:szCs w:val="18"/>
          <w:color w:val="auto"/>
        </w:rPr>
        <w:t>Growth in the Investment Portfolio (+34% QoQ) continues to be well diversified and predominantly investment grade rated, propelled by a 72% QoQ increase in Latin American securities complementing the Bank’s Loan Portfolio, in addition to a stable high quality liquid asset (“HQLA”) bond portfolio aimed to enhance liquidity yields.</w:t>
      </w:r>
    </w:p>
    <w:p>
      <w:pPr>
        <w:spacing w:after="0" w:line="210" w:lineRule="exact"/>
        <w:rPr>
          <w:rFonts w:ascii="Arial" w:cs="Arial" w:eastAsia="Arial" w:hAnsi="Arial"/>
          <w:sz w:val="18"/>
          <w:szCs w:val="18"/>
          <w:color w:val="auto"/>
        </w:rPr>
      </w:pPr>
    </w:p>
    <w:p>
      <w:pPr>
        <w:jc w:val="both"/>
        <w:ind w:left="319" w:hanging="319"/>
        <w:spacing w:after="0" w:line="263" w:lineRule="auto"/>
        <w:tabs>
          <w:tab w:leader="none" w:pos="319" w:val="left"/>
        </w:tabs>
        <w:numPr>
          <w:ilvl w:val="0"/>
          <w:numId w:val="2"/>
        </w:numPr>
        <w:rPr>
          <w:rFonts w:ascii="Arial" w:cs="Arial" w:eastAsia="Arial" w:hAnsi="Arial"/>
          <w:sz w:val="18"/>
          <w:szCs w:val="18"/>
          <w:color w:val="auto"/>
        </w:rPr>
      </w:pPr>
      <w:r>
        <w:rPr>
          <w:rFonts w:ascii="Arial" w:cs="Arial" w:eastAsia="Arial" w:hAnsi="Arial"/>
          <w:sz w:val="18"/>
          <w:szCs w:val="18"/>
          <w:color w:val="auto"/>
        </w:rPr>
        <w:t>NII increased 11% QoQ to $21 million in 2Q21, mainly on higher average lending volumes (+12% QoQ) and lower average funding costs (-17 bps QoQ), partly offset by the continued downward pressure of lending rates (-23 pbs QoQ). Tighter lending spreads, reaching pre-pandemic levels, relate to sustained solid credit quality and ample market liquidity.</w:t>
      </w:r>
    </w:p>
    <w:p>
      <w:pPr>
        <w:spacing w:after="0" w:line="210" w:lineRule="exact"/>
        <w:rPr>
          <w:rFonts w:ascii="Arial" w:cs="Arial" w:eastAsia="Arial" w:hAnsi="Arial"/>
          <w:sz w:val="18"/>
          <w:szCs w:val="18"/>
          <w:color w:val="auto"/>
        </w:rPr>
      </w:pPr>
    </w:p>
    <w:p>
      <w:pPr>
        <w:ind w:left="319" w:hanging="319"/>
        <w:spacing w:after="0" w:line="277" w:lineRule="auto"/>
        <w:tabs>
          <w:tab w:leader="none" w:pos="319" w:val="left"/>
        </w:tabs>
        <w:numPr>
          <w:ilvl w:val="0"/>
          <w:numId w:val="2"/>
        </w:numPr>
        <w:rPr>
          <w:rFonts w:ascii="Arial" w:cs="Arial" w:eastAsia="Arial" w:hAnsi="Arial"/>
          <w:sz w:val="18"/>
          <w:szCs w:val="18"/>
          <w:color w:val="auto"/>
        </w:rPr>
      </w:pPr>
      <w:r>
        <w:rPr>
          <w:rFonts w:ascii="Arial" w:cs="Arial" w:eastAsia="Arial" w:hAnsi="Arial"/>
          <w:sz w:val="18"/>
          <w:szCs w:val="18"/>
          <w:color w:val="auto"/>
        </w:rPr>
        <w:t>On a YoY comparison, NII was down 3%, as the positive volume net effect driven by an improved interest-earning asset mix, with increased average loans and investments and decreased cash position, was offset by the impact of lower Libor-based market rates.</w:t>
      </w:r>
    </w:p>
    <w:p>
      <w:pPr>
        <w:spacing w:after="0" w:line="197" w:lineRule="exact"/>
        <w:rPr>
          <w:rFonts w:ascii="Arial" w:cs="Arial" w:eastAsia="Arial" w:hAnsi="Arial"/>
          <w:sz w:val="18"/>
          <w:szCs w:val="18"/>
          <w:color w:val="auto"/>
        </w:rPr>
      </w:pPr>
    </w:p>
    <w:p>
      <w:pPr>
        <w:ind w:left="319" w:hanging="319"/>
        <w:spacing w:after="0" w:line="277" w:lineRule="auto"/>
        <w:tabs>
          <w:tab w:leader="none" w:pos="319"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commissions income totaled $4.3 million for 2Q21, up 41% QoQ and 120% YoY, due to the sustained positive trend in the Bank’s letters of credit business, along with the return of loan syndications activity.</w:t>
      </w:r>
    </w:p>
    <w:p>
      <w:pPr>
        <w:spacing w:after="0" w:line="197" w:lineRule="exact"/>
        <w:rPr>
          <w:rFonts w:ascii="Arial" w:cs="Arial" w:eastAsia="Arial" w:hAnsi="Arial"/>
          <w:sz w:val="18"/>
          <w:szCs w:val="18"/>
          <w:color w:val="auto"/>
        </w:rPr>
      </w:pPr>
    </w:p>
    <w:p>
      <w:pPr>
        <w:ind w:left="319" w:hanging="319"/>
        <w:spacing w:after="0" w:line="308" w:lineRule="auto"/>
        <w:tabs>
          <w:tab w:leader="none" w:pos="319" w:val="left"/>
        </w:tabs>
        <w:numPr>
          <w:ilvl w:val="0"/>
          <w:numId w:val="2"/>
        </w:numPr>
        <w:rPr>
          <w:rFonts w:ascii="Arial" w:cs="Arial" w:eastAsia="Arial" w:hAnsi="Arial"/>
          <w:sz w:val="17"/>
          <w:szCs w:val="17"/>
          <w:color w:val="auto"/>
        </w:rPr>
      </w:pPr>
      <w:r>
        <w:rPr>
          <w:rFonts w:ascii="Arial" w:cs="Arial" w:eastAsia="Arial" w:hAnsi="Arial"/>
          <w:sz w:val="17"/>
          <w:szCs w:val="17"/>
          <w:color w:val="auto"/>
        </w:rPr>
        <w:t>Asset quality remains sound, with credit-impaired loans (“NPLs”) representing 0.2% of total loans at June 30, 2021. Provision for credit losses of $1.4 million in 2Q21 mostly relate to strong credit origination, having 96% of total credits classified as Stage 1 (low risk) under IFRS 9.</w:t>
      </w:r>
    </w:p>
    <w:p>
      <w:pPr>
        <w:spacing w:after="0" w:line="173" w:lineRule="exact"/>
        <w:rPr>
          <w:rFonts w:ascii="Arial" w:cs="Arial" w:eastAsia="Arial" w:hAnsi="Arial"/>
          <w:sz w:val="17"/>
          <w:szCs w:val="17"/>
          <w:color w:val="auto"/>
        </w:rPr>
      </w:pPr>
    </w:p>
    <w:p>
      <w:pPr>
        <w:ind w:left="319" w:hanging="319"/>
        <w:spacing w:after="0" w:line="277" w:lineRule="auto"/>
        <w:tabs>
          <w:tab w:leader="none" w:pos="319" w:val="left"/>
        </w:tabs>
        <w:numPr>
          <w:ilvl w:val="0"/>
          <w:numId w:val="2"/>
        </w:numPr>
        <w:rPr>
          <w:rFonts w:ascii="Arial" w:cs="Arial" w:eastAsia="Arial" w:hAnsi="Arial"/>
          <w:sz w:val="18"/>
          <w:szCs w:val="18"/>
          <w:color w:val="auto"/>
        </w:rPr>
      </w:pPr>
      <w:r>
        <w:rPr>
          <w:rFonts w:ascii="Arial" w:cs="Arial" w:eastAsia="Arial" w:hAnsi="Arial"/>
          <w:sz w:val="18"/>
          <w:szCs w:val="18"/>
          <w:color w:val="auto"/>
        </w:rPr>
        <w:t>Bladex´s liquidity position stood at $999 million, or 15% of total assets as of June 30, 2021, supported by its sound and well diversified funding structure, led by steady growth of its deposit base (+5 QoQ; +16% YoY).</w:t>
      </w:r>
    </w:p>
    <w:p>
      <w:pPr>
        <w:spacing w:after="0" w:line="197" w:lineRule="exact"/>
        <w:rPr>
          <w:rFonts w:ascii="Arial" w:cs="Arial" w:eastAsia="Arial" w:hAnsi="Arial"/>
          <w:sz w:val="18"/>
          <w:szCs w:val="18"/>
          <w:color w:val="auto"/>
        </w:rPr>
      </w:pPr>
    </w:p>
    <w:p>
      <w:pPr>
        <w:jc w:val="both"/>
        <w:ind w:left="319" w:hanging="319"/>
        <w:spacing w:after="0" w:line="263" w:lineRule="auto"/>
        <w:tabs>
          <w:tab w:leader="none" w:pos="319" w:val="left"/>
        </w:tabs>
        <w:numPr>
          <w:ilvl w:val="0"/>
          <w:numId w:val="2"/>
        </w:numPr>
        <w:rPr>
          <w:rFonts w:ascii="Arial" w:cs="Arial" w:eastAsia="Arial" w:hAnsi="Arial"/>
          <w:sz w:val="18"/>
          <w:szCs w:val="18"/>
          <w:color w:val="auto"/>
        </w:rPr>
      </w:pPr>
      <w:r>
        <w:rPr>
          <w:rFonts w:ascii="Arial" w:cs="Arial" w:eastAsia="Arial" w:hAnsi="Arial"/>
          <w:sz w:val="18"/>
          <w:szCs w:val="18"/>
          <w:color w:val="auto"/>
        </w:rPr>
        <w:t>As of June 30, 2021, the Bank´s capitalization remained solid with a Tier 1 Basel III Capital Ratio of 23.6% and a Regulatory Capital Adequacy Ratio of 18.2%. Ongoing Stock Repurchase has been executed as planned since mid-May 2021, having repurchased 728 thousand shares for a total of $11.2 million as of the date of this report.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-7620</wp:posOffset>
            </wp:positionH>
            <wp:positionV relativeFrom="paragraph">
              <wp:posOffset>262890</wp:posOffset>
            </wp:positionV>
            <wp:extent cx="7132320" cy="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159"/>
          </w:cols>
          <w:pgMar w:left="341" w:top="1440" w:right="39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259715</wp:posOffset>
            </wp:positionH>
            <wp:positionV relativeFrom="page">
              <wp:posOffset>586105</wp:posOffset>
            </wp:positionV>
            <wp:extent cx="7003415" cy="10369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clrChange>
                        <a:clrFrom>
                          <a:srgbClr val="FFFFFF"/>
                        </a:clrFrom>
                        <a:clrTo>
                          <a:srgbClr val="FFFFFF">
                            <a:alpha val="0"/>
                          </a:srgbClr>
                        </a:clrTo>
                      </a:clrChange>
                      <a:extLst>
                        <a:ext uri="{28A0092B-C50C-407E-A947-70E740481C1C}"/>
                      </a:extLst>
                    </a:blip>
                    <a:srcRect/>
                    <a:stretch>
                      <a:fillRect/>
                    </a:stretch>
                  </pic:blipFill>
                  <pic:spPr bwMode="auto">
                    <a:xfrm>
                      <a:off x="0" y="0"/>
                      <a:ext cx="7003415" cy="10369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CEO’s Comments</w:t>
      </w:r>
    </w:p>
    <w:p>
      <w:pPr>
        <w:spacing w:after="0" w:line="219" w:lineRule="exact"/>
        <w:rPr>
          <w:sz w:val="20"/>
          <w:szCs w:val="20"/>
          <w:color w:val="auto"/>
        </w:rPr>
      </w:pPr>
    </w:p>
    <w:p>
      <w:pPr>
        <w:jc w:val="both"/>
        <w:ind w:right="80"/>
        <w:spacing w:after="0" w:line="290" w:lineRule="auto"/>
        <w:rPr>
          <w:sz w:val="20"/>
          <w:szCs w:val="20"/>
          <w:color w:val="auto"/>
        </w:rPr>
      </w:pPr>
      <w:r>
        <w:rPr>
          <w:rFonts w:ascii="Arial" w:cs="Arial" w:eastAsia="Arial" w:hAnsi="Arial"/>
          <w:sz w:val="16"/>
          <w:szCs w:val="16"/>
          <w:color w:val="auto"/>
        </w:rPr>
        <w:t>Mr. Jorge Salas, Bladex’s Chief Executive Officer said: “Despite a slow vaccine rollout for most countries and daily new infections having peaked only a month ago, growth in the Region is starting to regain traction as the economies reopen, commodity prices hit record levels and remittances are also at record highs. In fact, just yesterday the IMF revised for the second time this year, its growth projection for 2021 for Latin America from 4.6% in April to 5.8%, with the two largest economies in the Region, Mexico and Brazil, growing at 6.3% and 5.3% respectively this year. Latam trade flows are expected to grow 21% in 2021, as world growth, especially in the U.S. and China, is fueling trade flows. In this context, second quarter results improved, with consistent growth and pristine asset quality, as we grew our loan and investment portfolios for the fourth consecutive quarter, while keeping asset quality sound with only 0.2% of NPLs to total loans. Most of the growth was once again, related to the recent commodity boom, which is associated to both prices and volumes. Revenues increased by 17% and net profit also rose 10% with respect to the previous quarter.”</w:t>
      </w:r>
    </w:p>
    <w:p>
      <w:pPr>
        <w:spacing w:after="0" w:line="165"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Mr. Salas added: “To further align our organizational structure and enhance our execution capabilities, during the second quarter, we created a new executive VP of Strategy to coordinate strategic planning and lead a project management office. New value-added structured services, that were driven by this new unit, are already in place. I am also pleased to report that the share buyback plan of up to $60 million announced last quarter, is being executed as planned and that the Board of Director decided to maintain the quarterly dividend of 25 cents per share.”</w:t>
      </w:r>
    </w:p>
    <w:p>
      <w:pPr>
        <w:spacing w:after="0" w:line="171" w:lineRule="exact"/>
        <w:rPr>
          <w:sz w:val="20"/>
          <w:szCs w:val="20"/>
          <w:color w:val="auto"/>
        </w:rPr>
      </w:pPr>
    </w:p>
    <w:p>
      <w:pPr>
        <w:jc w:val="both"/>
        <w:ind w:right="80"/>
        <w:spacing w:after="0" w:line="308" w:lineRule="auto"/>
        <w:rPr>
          <w:sz w:val="20"/>
          <w:szCs w:val="20"/>
          <w:color w:val="auto"/>
        </w:rPr>
      </w:pPr>
      <w:r>
        <w:rPr>
          <w:rFonts w:ascii="Arial" w:cs="Arial" w:eastAsia="Arial" w:hAnsi="Arial"/>
          <w:sz w:val="17"/>
          <w:szCs w:val="17"/>
          <w:color w:val="auto"/>
        </w:rPr>
        <w:t>Mr. Salas concluded: “We believe the Bank’s sustained growth trend is very relevant, and remain confident that there is ample room to continue this trend as the Region recovers. We stand cautiously optimistic and are well positioned to make the best of the many opportunities that keep arising.”</w:t>
      </w:r>
    </w:p>
    <w:p>
      <w:pPr>
        <w:spacing w:after="0" w:line="14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right="80" w:hanging="328"/>
        <w:spacing w:after="0" w:line="282"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Quarterly dividend payment: </w:t>
      </w:r>
      <w:r>
        <w:rPr>
          <w:rFonts w:ascii="Arial" w:cs="Arial" w:eastAsia="Arial" w:hAnsi="Arial"/>
          <w:sz w:val="18"/>
          <w:szCs w:val="18"/>
          <w:color w:val="auto"/>
        </w:rPr>
        <w:t>The Board approved a quarterly common dividend of $0.25 per share corresponding to the second quarter 2021.</w:t>
      </w:r>
      <w:r>
        <w:rPr>
          <w:rFonts w:ascii="Arial" w:cs="Arial" w:eastAsia="Arial" w:hAnsi="Arial"/>
          <w:sz w:val="18"/>
          <w:szCs w:val="18"/>
          <w:b w:val="1"/>
          <w:bCs w:val="1"/>
          <w:color w:val="auto"/>
        </w:rPr>
        <w:t xml:space="preserve"> </w:t>
      </w:r>
      <w:r>
        <w:rPr>
          <w:rFonts w:ascii="Arial" w:cs="Arial" w:eastAsia="Arial" w:hAnsi="Arial"/>
          <w:sz w:val="18"/>
          <w:szCs w:val="18"/>
          <w:color w:val="auto"/>
        </w:rPr>
        <w:t>The cash dividend will be paid on August 24, 2021, to shareholders registered as of August 9, 2021.</w:t>
      </w:r>
    </w:p>
    <w:p>
      <w:pPr>
        <w:spacing w:after="0" w:line="188" w:lineRule="exact"/>
        <w:rPr>
          <w:rFonts w:ascii="Arial" w:cs="Arial" w:eastAsia="Arial" w:hAnsi="Arial"/>
          <w:sz w:val="18"/>
          <w:szCs w:val="18"/>
          <w:color w:val="auto"/>
        </w:rPr>
      </w:pPr>
    </w:p>
    <w:p>
      <w:pPr>
        <w:ind w:left="660" w:right="80" w:hanging="328"/>
        <w:spacing w:after="0" w:line="312" w:lineRule="auto"/>
        <w:tabs>
          <w:tab w:leader="none" w:pos="660" w:val="left"/>
        </w:tabs>
        <w:numPr>
          <w:ilvl w:val="0"/>
          <w:numId w:val="3"/>
        </w:numPr>
        <w:rPr>
          <w:rFonts w:ascii="Arial" w:cs="Arial" w:eastAsia="Arial" w:hAnsi="Arial"/>
          <w:sz w:val="17"/>
          <w:szCs w:val="17"/>
          <w:color w:val="auto"/>
        </w:rPr>
      </w:pPr>
      <w:r>
        <w:rPr>
          <w:rFonts w:ascii="Arial" w:cs="Arial" w:eastAsia="Arial" w:hAnsi="Arial"/>
          <w:sz w:val="17"/>
          <w:szCs w:val="17"/>
          <w:b w:val="1"/>
          <w:bCs w:val="1"/>
          <w:color w:val="auto"/>
        </w:rPr>
        <w:t xml:space="preserve">Stock Repurchase Program: </w:t>
      </w:r>
      <w:r>
        <w:rPr>
          <w:rFonts w:ascii="Arial" w:cs="Arial" w:eastAsia="Arial" w:hAnsi="Arial"/>
          <w:sz w:val="17"/>
          <w:szCs w:val="17"/>
          <w:color w:val="auto"/>
        </w:rPr>
        <w:t>As of the date of this report, since the on-set of the Stock Repurchase Program in mid-May of 2021, Bladex has</w:t>
      </w:r>
      <w:r>
        <w:rPr>
          <w:rFonts w:ascii="Arial" w:cs="Arial" w:eastAsia="Arial" w:hAnsi="Arial"/>
          <w:sz w:val="17"/>
          <w:szCs w:val="17"/>
          <w:b w:val="1"/>
          <w:bCs w:val="1"/>
          <w:color w:val="auto"/>
        </w:rPr>
        <w:t xml:space="preserve"> </w:t>
      </w:r>
      <w:r>
        <w:rPr>
          <w:rFonts w:ascii="Arial" w:cs="Arial" w:eastAsia="Arial" w:hAnsi="Arial"/>
          <w:sz w:val="17"/>
          <w:szCs w:val="17"/>
          <w:color w:val="auto"/>
        </w:rPr>
        <w:t>repurchased 728 thousand Class E common shares for a total of $11.2 million, out of the $60 million approved by the Board.</w:t>
      </w:r>
    </w:p>
    <w:p>
      <w:pPr>
        <w:spacing w:after="0" w:line="166" w:lineRule="exact"/>
        <w:rPr>
          <w:rFonts w:ascii="Arial" w:cs="Arial" w:eastAsia="Arial" w:hAnsi="Arial"/>
          <w:sz w:val="17"/>
          <w:szCs w:val="17"/>
          <w:color w:val="auto"/>
        </w:rPr>
      </w:pPr>
    </w:p>
    <w:p>
      <w:pPr>
        <w:ind w:left="660" w:right="80" w:hanging="328"/>
        <w:spacing w:after="0" w:line="282"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b w:val="1"/>
          <w:bCs w:val="1"/>
          <w:color w:val="auto"/>
        </w:rPr>
        <w:t xml:space="preserve">Strategic Planning Office: </w:t>
      </w:r>
      <w:r>
        <w:rPr>
          <w:rFonts w:ascii="Arial" w:cs="Arial" w:eastAsia="Arial" w:hAnsi="Arial"/>
          <w:sz w:val="18"/>
          <w:szCs w:val="18"/>
          <w:color w:val="auto"/>
        </w:rPr>
        <w:t>Bladex recently incorporated a new strategic planning and management position, reporting to the CEO, to align its</w:t>
      </w:r>
      <w:r>
        <w:rPr>
          <w:rFonts w:ascii="Arial" w:cs="Arial" w:eastAsia="Arial" w:hAnsi="Arial"/>
          <w:sz w:val="18"/>
          <w:szCs w:val="18"/>
          <w:b w:val="1"/>
          <w:bCs w:val="1"/>
          <w:color w:val="auto"/>
        </w:rPr>
        <w:t xml:space="preserve"> </w:t>
      </w:r>
      <w:r>
        <w:rPr>
          <w:rFonts w:ascii="Arial" w:cs="Arial" w:eastAsia="Arial" w:hAnsi="Arial"/>
          <w:sz w:val="18"/>
          <w:szCs w:val="18"/>
          <w:color w:val="auto"/>
        </w:rPr>
        <w:t>organizational structure seeking to enhance the Bank’s execution capabilities and effectiveness.</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7" w:lineRule="exact"/>
        <w:rPr>
          <w:sz w:val="20"/>
          <w:szCs w:val="20"/>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10" w:lineRule="exact"/>
        <w:rPr>
          <w:rFonts w:ascii="Arial" w:cs="Arial" w:eastAsia="Arial" w:hAnsi="Arial"/>
          <w:sz w:val="18"/>
          <w:szCs w:val="18"/>
          <w:color w:val="auto"/>
        </w:rPr>
      </w:pPr>
    </w:p>
    <w:p>
      <w:pPr>
        <w:ind w:left="660" w:hanging="328"/>
        <w:spacing w:after="0"/>
        <w:tabs>
          <w:tab w:leader="none" w:pos="660" w:val="left"/>
        </w:tabs>
        <w:numPr>
          <w:ilvl w:val="0"/>
          <w:numId w:val="4"/>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00" w:lineRule="exact"/>
        <w:rPr>
          <w:sz w:val="20"/>
          <w:szCs w:val="20"/>
          <w:color w:val="auto"/>
        </w:rPr>
      </w:pPr>
    </w:p>
    <w:p>
      <w:pPr>
        <w:spacing w:after="0" w:line="25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259715</wp:posOffset>
            </wp:positionH>
            <wp:positionV relativeFrom="page">
              <wp:posOffset>586105</wp:posOffset>
            </wp:positionV>
            <wp:extent cx="7003415" cy="103695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7003415" cy="10369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ind w:left="660" w:right="8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25" w:lineRule="exact"/>
        <w:rPr>
          <w:rFonts w:ascii="Arial" w:cs="Arial" w:eastAsia="Arial" w:hAnsi="Arial"/>
          <w:sz w:val="18"/>
          <w:szCs w:val="18"/>
          <w:color w:val="auto"/>
        </w:rPr>
      </w:pPr>
    </w:p>
    <w:p>
      <w:pPr>
        <w:jc w:val="both"/>
        <w:ind w:left="660" w:right="80" w:hanging="328"/>
        <w:spacing w:after="0" w:line="311" w:lineRule="auto"/>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The Bank’s “Credit Portfolio” includes gross loans at amortized cost (or the “Loan Portfolio”), securities at FVOCI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148" w:lineRule="exact"/>
        <w:rPr>
          <w:rFonts w:ascii="Arial" w:cs="Arial" w:eastAsia="Arial" w:hAnsi="Arial"/>
          <w:sz w:val="16"/>
          <w:szCs w:val="16"/>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at amortized cost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3"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Tier 1 Capital ratio is calculated according to Basel III capital adequacy guidelines, and as a percentage of risk-weighted assets. Risk-weighted assets are estimated based on Basel III capital adequacy guidelines, utilizing internal-ratings based approach or “IRB” for credit risk and standardized approach for operational risk.</w:t>
      </w:r>
    </w:p>
    <w:p>
      <w:pPr>
        <w:spacing w:after="0" w:line="183" w:lineRule="exact"/>
        <w:rPr>
          <w:rFonts w:ascii="Arial" w:cs="Arial" w:eastAsia="Arial" w:hAnsi="Arial"/>
          <w:sz w:val="18"/>
          <w:szCs w:val="18"/>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As defined by the Superintendency of Banks of Panama through Rules No. 01-2015 and 03-2016, based on Basel III standardized approach. The capital adequacy ratio is defined as the ratio of capital funds to risk-weighted assets, rated according to the asset’s categories for credit risk. In addition, risk-weighted assets consider calculations for market risk and operating risk.</w:t>
      </w:r>
    </w:p>
    <w:p>
      <w:pPr>
        <w:spacing w:after="0" w:line="183" w:lineRule="exact"/>
        <w:rPr>
          <w:rFonts w:ascii="Arial" w:cs="Arial" w:eastAsia="Arial" w:hAnsi="Arial"/>
          <w:sz w:val="18"/>
          <w:szCs w:val="18"/>
          <w:color w:val="auto"/>
        </w:rPr>
      </w:pPr>
    </w:p>
    <w:p>
      <w:pPr>
        <w:jc w:val="both"/>
        <w:ind w:left="660" w:right="80" w:hanging="328"/>
        <w:spacing w:after="0" w:line="263"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as well as highly rated corporate debt securities (above ‘A-‘). Liquidity ratio refers to liquid assets as a percentage of total assets.</w:t>
      </w:r>
    </w:p>
    <w:p>
      <w:pPr>
        <w:spacing w:after="0" w:line="183" w:lineRule="exact"/>
        <w:rPr>
          <w:rFonts w:ascii="Arial" w:cs="Arial" w:eastAsia="Arial" w:hAnsi="Arial"/>
          <w:sz w:val="18"/>
          <w:szCs w:val="18"/>
          <w:color w:val="auto"/>
        </w:rPr>
      </w:pPr>
    </w:p>
    <w:p>
      <w:pPr>
        <w:ind w:left="660" w:right="8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Loan Portfolio refers to gross loans at amortized cost, excluding interest receivable, the allowance for loan losses, and unearned interest and deferred fees. Credit-impaired loans are also commonly referred to as Non-Performing Loans or NPLs.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Total allowance for losses refers to allowance for loan losses plus allowance for loan commitments and financial guarantee contract losses and allowance for investment securities losses.</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136130" cy="22244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6130" cy="2224405"/>
                    </a:xfrm>
                    <a:prstGeom prst="rect">
                      <a:avLst/>
                    </a:prstGeom>
                    <a:noFill/>
                  </pic:spPr>
                </pic:pic>
              </a:graphicData>
            </a:graphic>
          </wp:anchor>
        </w:drawing>
      </w:r>
    </w:p>
    <w:p>
      <w:pPr>
        <w:spacing w:after="0" w:line="223" w:lineRule="exact"/>
        <w:rPr>
          <w:sz w:val="20"/>
          <w:szCs w:val="20"/>
          <w:color w:val="auto"/>
        </w:rPr>
      </w:pPr>
    </w:p>
    <w:p>
      <w:pPr>
        <w:jc w:val="both"/>
        <w:ind w:left="20" w:right="20"/>
        <w:spacing w:after="0" w:line="285"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and Section 21E of the Securities Exchange Act of 1934. Forward-looking statements can be identified by words such as: “anticipate”, “intend”, “plan”, “goal”, “seek”, “believe”, “project”, “estimate”, “expect”, “strategy”, “future”, “likely”, “may”, “should”, “will” and similar references to future periods. The forward-looking statements in this press release include the Bank’s financial position, asset quality and profitability, among others.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coronavirus (COVID-19) pandemic and government actions intended to limit its spread;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Readers are cautioned not to place undue reliance on these forward-looking statements, which speak only as of the date hereof.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1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259715</wp:posOffset>
            </wp:positionH>
            <wp:positionV relativeFrom="page">
              <wp:posOffset>586105</wp:posOffset>
            </wp:positionV>
            <wp:extent cx="7003415" cy="10369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clrChange>
                        <a:clrFrom>
                          <a:srgbClr val="FFFFFF"/>
                        </a:clrFrom>
                        <a:clrTo>
                          <a:srgbClr val="FFFFFF">
                            <a:alpha val="0"/>
                          </a:srgbClr>
                        </a:clrTo>
                      </a:clrChange>
                      <a:extLst>
                        <a:ext uri="{28A0092B-C50C-407E-A947-70E740481C1C}"/>
                      </a:extLst>
                    </a:blip>
                    <a:srcRect/>
                    <a:stretch>
                      <a:fillRect/>
                    </a:stretch>
                  </pic:blipFill>
                  <pic:spPr bwMode="auto">
                    <a:xfrm>
                      <a:off x="0" y="0"/>
                      <a:ext cx="7003415" cy="103695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ind w:right="80"/>
        <w:spacing w:after="0" w:line="263"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ind w:right="80"/>
        <w:spacing w:after="0" w:line="301" w:lineRule="auto"/>
        <w:rPr>
          <w:sz w:val="20"/>
          <w:szCs w:val="20"/>
          <w:color w:val="auto"/>
        </w:rPr>
      </w:pPr>
      <w:r>
        <w:rPr>
          <w:rFonts w:ascii="Arial" w:cs="Arial" w:eastAsia="Arial" w:hAnsi="Arial"/>
          <w:sz w:val="16"/>
          <w:szCs w:val="16"/>
          <w:color w:val="auto"/>
        </w:rPr>
        <w:t xml:space="preserve">There will be a conference call to discuss the Bank’s quarterly results on Wednesday, July 28, 2021 at 11:00 a.m. New York City time (Eastern Time). For those interested in participating, please dial 1-877-271-1828 in the United States or, if outside the United States, 1-334-323-9871. Participants should use conference passcode 32806397, and dial in five minutes before the call is set to begin. There will also be a live audio webcast of the conference at </w:t>
      </w:r>
      <w:r>
        <w:rPr>
          <w:rFonts w:ascii="Arial" w:cs="Arial" w:eastAsia="Arial" w:hAnsi="Arial"/>
          <w:sz w:val="16"/>
          <w:szCs w:val="16"/>
          <w:u w:val="single" w:color="auto"/>
          <w:color w:val="auto"/>
        </w:rPr>
        <w:t>http://www.bladex.com</w:t>
      </w:r>
      <w:r>
        <w:rPr>
          <w:rFonts w:ascii="Arial" w:cs="Arial" w:eastAsia="Arial" w:hAnsi="Arial"/>
          <w:sz w:val="16"/>
          <w:szCs w:val="16"/>
          <w:color w:val="auto"/>
        </w:rPr>
        <w:t xml:space="preserve">. The webcast presentation will be available for viewing and downloads on </w:t>
      </w:r>
      <w:r>
        <w:rPr>
          <w:rFonts w:ascii="Arial" w:cs="Arial" w:eastAsia="Arial" w:hAnsi="Arial"/>
          <w:sz w:val="16"/>
          <w:szCs w:val="16"/>
          <w:u w:val="single" w:color="auto"/>
          <w:color w:val="auto"/>
        </w:rPr>
        <w:t>http://www.bladex.com</w:t>
      </w:r>
      <w:r>
        <w:rPr>
          <w:rFonts w:ascii="Arial" w:cs="Arial" w:eastAsia="Arial" w:hAnsi="Arial"/>
          <w:sz w:val="16"/>
          <w:szCs w:val="16"/>
          <w:color w:val="auto"/>
        </w:rPr>
        <w:t>.</w:t>
      </w:r>
    </w:p>
    <w:p>
      <w:pPr>
        <w:spacing w:after="0" w:line="157" w:lineRule="exact"/>
        <w:rPr>
          <w:sz w:val="20"/>
          <w:szCs w:val="20"/>
          <w:color w:val="auto"/>
        </w:rPr>
      </w:pPr>
    </w:p>
    <w:p>
      <w:pPr>
        <w:jc w:val="both"/>
        <w:ind w:right="80"/>
        <w:spacing w:after="0" w:line="277" w:lineRule="auto"/>
        <w:rPr>
          <w:sz w:val="20"/>
          <w:szCs w:val="20"/>
          <w:color w:val="auto"/>
        </w:rPr>
      </w:pPr>
      <w:r>
        <w:rPr>
          <w:rFonts w:ascii="Arial" w:cs="Arial" w:eastAsia="Arial" w:hAnsi="Arial"/>
          <w:sz w:val="18"/>
          <w:szCs w:val="18"/>
          <w:color w:val="auto"/>
        </w:rPr>
        <w:t>The conference call will become available for review on Conference Replay one hour after its conclusion and will remain available for 60 days. Please dial (877) 919-4059 or (334) 323-0140 and follow the instructions. The replay passcode is: 38738607.</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440" w:right="339" w:bottom="1440" w:gutter="0" w:footer="0" w:header="0"/>
        </w:sectPr>
      </w:pPr>
    </w:p>
    <w:bookmarkStart w:id="8" w:name="page9"/>
    <w:bookmarkEnd w:id="8"/>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208280</wp:posOffset>
            </wp:positionH>
            <wp:positionV relativeFrom="page">
              <wp:posOffset>586105</wp:posOffset>
            </wp:positionV>
            <wp:extent cx="7132320" cy="630936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6309360"/>
                    </a:xfrm>
                    <a:prstGeom prst="rect">
                      <a:avLst/>
                    </a:prstGeom>
                    <a:noFill/>
                  </pic:spPr>
                </pic:pic>
              </a:graphicData>
            </a:graphic>
          </wp:anchor>
        </w:drawing>
      </w:r>
    </w:p>
    <w:sectPr>
      <w:pgSz w:w="11900" w:h="16838" w:orient="portrait"/>
      <w:cols w:equalWidth="1" w:num="1" w:space="0"/>
      <w:pgMar w:left="1440" w:top="1440" w:right="1440" w:bottom="87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2AE8944A"/>
    <w:multiLevelType w:val="hybridMultilevel"/>
    <w:lvl w:ilvl="0">
      <w:lvlJc w:val="left"/>
      <w:lvlText w:val="·"/>
      <w:numFmt w:val="bullet"/>
      <w:start w:val="1"/>
    </w:lvl>
  </w:abstractNum>
  <w:abstractNum w:abstractNumId="1">
    <w:nsid w:val="625558EC"/>
    <w:multiLevelType w:val="hybridMultilevel"/>
    <w:lvl w:ilvl="0">
      <w:lvlJc w:val="left"/>
      <w:lvlText w:val="·"/>
      <w:numFmt w:val="bullet"/>
      <w:start w:val="1"/>
    </w:lvl>
  </w:abstractNum>
  <w:abstractNum w:abstractNumId="2">
    <w:nsid w:val="238E1F29"/>
    <w:multiLevelType w:val="hybridMultilevel"/>
    <w:lvl w:ilvl="0">
      <w:lvlJc w:val="left"/>
      <w:lvlText w:val="§"/>
      <w:numFmt w:val="bullet"/>
      <w:start w:val="1"/>
    </w:lvl>
  </w:abstractNum>
  <w:abstractNum w:abstractNumId="3">
    <w:nsid w:val="46E87CCD"/>
    <w:multiLevelType w:val="hybridMultilevel"/>
    <w:lvl w:ilvl="0">
      <w:lvlJc w:val="left"/>
      <w:lvlText w:val="-"/>
      <w:numFmt w:val="bullet"/>
      <w:start w:val="1"/>
    </w:lvl>
  </w:abstractNum>
  <w:abstractNum w:abstractNumId="4">
    <w:nsid w:val="3D1B58BA"/>
    <w:multiLevelType w:val="hybridMultilevel"/>
    <w:lvl w:ilvl="0">
      <w:lvlJc w:val="left"/>
      <w:lvlText w:val="%1)"/>
      <w:numFmt w:val="decimal"/>
      <w:start w:val="1"/>
    </w:lvl>
  </w:abstractNum>
  <w:abstractNum w:abstractNumId="5">
    <w:nsid w:val="507ED7AB"/>
    <w:multiLevelType w:val="hybridMultilevel"/>
    <w:lvl w:ilvl="0">
      <w:lvlJc w:val="left"/>
      <w:lvlText w:val="%1)"/>
      <w:numFmt w:val="decimal"/>
      <w:start w:val="4"/>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jpeg"/><Relationship Id="rId20" Type="http://schemas.openxmlformats.org/officeDocument/2006/relationships/image" Target="media/image13.pn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jpeg"/><Relationship Id="rId25" Type="http://schemas.openxmlformats.org/officeDocument/2006/relationships/image" Target="media/image18.png"/><Relationship Id="rId26" Type="http://schemas.openxmlformats.org/officeDocument/2006/relationships/image" Target="media/image1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2021-07-28T14:25:33Z</dcterms:created>
  <dcterms:modified xsi:type="dcterms:W3CDTF">2021-07-28T14:25:33Z</dcterms:modified>
</cp:coreProperties>
</file>